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343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439"/>
        <w:gridCol w:w="926"/>
        <w:gridCol w:w="465"/>
        <w:gridCol w:w="465"/>
        <w:gridCol w:w="465"/>
        <w:gridCol w:w="1106"/>
        <w:gridCol w:w="6740"/>
      </w:tblGrid>
      <w:tr w:rsidR="00C3430D" w:rsidTr="00C3430D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10</w:t>
            </w:r>
          </w:p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</w:t>
            </w:r>
            <w:proofErr w:type="gramEnd"/>
          </w:p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</w:p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</w:tr>
      <w:tr w:rsidR="00C3430D" w:rsidTr="00C3430D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14606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ассигнований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целевым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атьям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классификации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</w:p>
        </w:tc>
      </w:tr>
      <w:tr w:rsidR="00C3430D" w:rsidTr="00C3430D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44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C343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000"/>
      </w:tblPr>
      <w:tblGrid>
        <w:gridCol w:w="7390"/>
        <w:gridCol w:w="1377"/>
        <w:gridCol w:w="465"/>
        <w:gridCol w:w="465"/>
        <w:gridCol w:w="465"/>
        <w:gridCol w:w="1466"/>
        <w:gridCol w:w="1466"/>
        <w:gridCol w:w="146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69"/>
          <w:tblHeader/>
        </w:trPr>
        <w:tc>
          <w:tcPr>
            <w:tcW w:w="7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582,81875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840,35000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747,32813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N1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сосудистыми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N2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503,46804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пациентов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диспансерном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798,10722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798,10722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798,10722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798,10722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Борьба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онкологическими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заболеваниями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N3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24030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24030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24030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24030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51900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51900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51900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51900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квалифицированными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N5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ЕГИСЗ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N7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925,46701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подсистемами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ЕГИСЗ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межведомственное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сервисов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24040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24040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24040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24040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ЕГИСЗ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51140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525,56701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51140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525,56701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51140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525,56701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51140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525,56701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первичного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звена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N9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294,74360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263,65362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350,86638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263,65362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350,86638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263,65362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350,86638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988,87875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350,86638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274,77487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31,08998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876,38138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31,08998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876,38138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31,08998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876,38138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31,08998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876,38138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033,75224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033,75224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033,75224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033,75224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старшего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поколения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P3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вакцинации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пневмококковой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трудоспособного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54680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54680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54680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54680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отказ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вредных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привычек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1 P4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835,49062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268,65000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051,75000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728,79000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728,79000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728,79000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календаря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прививок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календаря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прививок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эпидемическим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скрининговых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01 4 01 24590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01 4 01 24590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эпидем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иологическое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01 4 01 24590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01 4 01 24590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032,88303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584,63500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680,16000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835,57054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395,79884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931,59296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835,57054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395,79884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931,59296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693,93219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254,16049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789,95461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058,69919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618,92749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154,72161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635,23300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635,23300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635,23300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923,29935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923,29935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923,29935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212,51335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212,51335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212,51335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710,78600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дневных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107,62200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107,62200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107,62200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805,45400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805,45400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805,45400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компонентов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тромболитическими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656,70204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656,70204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656,70204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656,70204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656,70204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656,70204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933,70204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369,52204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369,52204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369,52204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564,18000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564,18000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564,18000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диспансерное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01 4 02 61270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01 4 02 61270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01 4 02 61270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01 4 02 61270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инфицированных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551,48148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393,41182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551,48148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393,41182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551,48148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393,41182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551,48148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393,41182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357,16050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293,29410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357,16050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293,29410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357,16050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293,29410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357,16050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293,29410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чувствительности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микобактерии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возбудителя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тандартом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174,93847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072,58820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174,93847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072,58820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174,93847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072,58820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174,93847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072,58820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R4020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303,54000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185,44000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R4020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303,54000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185,44000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R4020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303,54000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185,44000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R4020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303,54000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185,44000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591,07000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144,37000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847,27000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577,67000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577,67000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577,67000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577,67000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577,67000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577,67000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смесями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новорожденных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врожденные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неонатального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скрининга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«Оказа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детям»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654,10110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884,66900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978,54400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048,66900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048,66900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048,66900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048,66900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048,66900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048,66900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438,05500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438,05500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438,05500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714,36100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714,36100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714,36100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723,69400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723,69400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723,69400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тяжелых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обезболивания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001,43210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001,43210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001,43210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001,43210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выездной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патронажной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взрослым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автомашин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выездной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патронажной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лекарственного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201,22800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201,22800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201,22800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551,45049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616,99000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264,29000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805,10400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805,10400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805,10400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021,08600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021,08600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021,08600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R7520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287,16049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R7520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287,16049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R7520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287,16049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R7520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287,16049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769,15000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ординат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присвоен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акушеркам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сестрам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акушерских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R1380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R1380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R1380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R1380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01 4 09 00000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823,17200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823,17200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823,17200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570,36200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570,36200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570,36200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218,81000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218,81000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218,81000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рриториального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01 4 10 00000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519,63331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246,44112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279,06800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Современная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технопарки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Кванториум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Успех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каждого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E2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нетиповых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технопарка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Кванториум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51711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51711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51711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51711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Цифровая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1 E4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"IT-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Профессионалитет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2 6D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опережающей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опережающей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«Интеллектуальная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581,13331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034,34112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153,46800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644,90331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320,11112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351,03800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нетиповых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347,37000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347,37000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347,37000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аттестации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игрушек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Агроклассов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077,77531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364,92500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077,77531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364,92500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077,77531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364,92500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254,24131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957,30712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814,16200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823,53400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678,68700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550,76300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проявивших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выдающиеся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417,45000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417,45000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417,45000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оздоровительный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02 4 02 83000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02 4 02 83000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02 4 02 83000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02 4 02 83000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048,18000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Абилимпикс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кураторство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02 4 03 53630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02 4 03 53630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02 4 03 53630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02 4 03 53630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696,31000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460,15900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460,15900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02 4 03 53630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847,69000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005,64100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005,64100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R1150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R1150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R1150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R1150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родите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форумов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посвященных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удочерении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причитающееся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2022 - 2026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гражданину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02 4 05 24880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02 4 05 24880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02 4 05 24880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02 4 05 24880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2022-2026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аналитическое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02 4 07 23540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02 4 07 23540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02 4 07 23540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02 4 07 23540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начавшейся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584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039,36068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351,02144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качественно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")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A1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371,64000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Реновация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A1 54552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Реновация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1 A1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1 A1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1 A1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1 A1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творческого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Творческие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люди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")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1 A2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979,38144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362,08600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Придумано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2 7D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362,08600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индустрий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24580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24580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24580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24580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индустрий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R3530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R3530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R3530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R3530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326,25324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фестивалей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концертов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выставок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постановок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встреч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олимпиад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.)"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993,43724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Хрустальный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Пегас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383,43724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769,43724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769,43724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231,93724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03 4 02 81700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03 4 02 81700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03 4 02 81700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03 4 02 81700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401,57600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750,37600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750,37600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750,37600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750,37600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цирков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начавшейся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03 4 04 82110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03 4 04 82110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03 4 04 82110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03 4 04 82110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964,84000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892,16560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672,03454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рождении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1 P1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старшего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поколения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1 P3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091,23454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уживания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403,71103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403,71103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403,71103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403,71103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737,18897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737,18897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737,18897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737,18897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523,77285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143,20590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реабилитационными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абилитационными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нуждающимся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жителям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Банк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04 3 01 22930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04 3 01 22930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04 3 01 22930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04 3 01 22930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896,35821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151,09410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подхода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917,72715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578,09410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протезно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ортоп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путевками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нагрудным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поствакцинальных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гарантированному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еречню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«Герой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домовладений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Дипломом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выслугу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вследствие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Афганистане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Кавказского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медалью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домовладений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газоиспользующего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Вооружен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гвардии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812,32715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955,69410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812,32715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955,69410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812,32715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955,69410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782,32715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сектора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536,73106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04 4 05 81770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04 4 05 81770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04 4 05 81770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04 4 05 81770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405,63106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405,63106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405,63106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405,63106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04 4 06 82380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04 4 06 82380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04 4 06 82380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04 4 06 82380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норма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1 P5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олимпийский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словосочетания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52292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52292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52292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52292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спринт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выбираю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«умных»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площадок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торжественных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Присвоение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разрядов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судьям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торжественных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пропаганде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05 4 01 81980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05 4 01 81980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05 4 01 81980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05 4 01 81980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заслуженных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05 4 02 22160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05 4 02 22160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05 4 02 22160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05 4 02 22160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Пестовского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лыжероллерными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трассами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158,42000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598,52000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860,42000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954,92000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656,92000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954,92000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656,92000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954,92000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656,92000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954,92000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656,92000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соревнованиях»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895,37207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890,88300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890,88300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680,38207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1 F2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021,40207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1 F5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214,99000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563,27800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563,27800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водоотведения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944,19000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энергоэффективности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сжиженного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сжиженный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энергетического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06 4 05 23800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06 4 05 23800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06 4 05 23800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06 4 05 23800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1 P2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работодателей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обратившихся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подходящей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ученический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52920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52920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52920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52920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квотировании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незанятых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наставников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незанятых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занятостью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07 4 02 83040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07 4 02 83040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07 4 02 83040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07 4 02 83040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07 4 02 83040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безработицы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 1032-I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рубежом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Миграционная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593,19726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221,65988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336,29957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517,52578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«Акселерация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предпринимательства»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1 I5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517,52578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Агростартап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Акселерация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744,32990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744,32990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744,32990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744,32990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консалтинга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ермеров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154,63918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154,63918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154,63918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154,63918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470,17148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016,15988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130,79957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отраслей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119,44074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707,05295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112,57500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добавок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377,52941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377,52941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377,52941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377,52941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сырого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492,83951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492,83951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492,83951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492,83951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насаждениями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птицы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967,61111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875,01765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992,20625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967,61111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875,01765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992,20625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967,61111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875,01765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992,20625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967,61111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875,01765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992,20625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703,70370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529,41176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703,70370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529,41176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703,70370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529,41176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703,70370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529,41176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агротехнологических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345,67901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764,70588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345,67901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764,70588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345,67901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764,70588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345,67901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764,70588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536,04118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319,54375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536,04118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319,54375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536,04118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319,54375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536,04118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319,54375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024,69136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411,76471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024,69136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411,76471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024,69136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411,76471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024,69136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411,76471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комплексе»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631,10111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110,51869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691,22457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691,22457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691,22457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691,22457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691,22457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маркировочного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маркировки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R4360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939,87654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419,29412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R4360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939,87654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419,29412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R4360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939,87654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419,29412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R4360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939,87654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419,29412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отраслей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овощеводства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картофелеводства»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142,34568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690,35294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796,28235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796,28235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796,28235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796,28235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агротехнологич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765,14815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084,22353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765,14815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084,22353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765,14815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084,22353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765,14815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084,22353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агротехнологических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872,07407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714,08750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872,07407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714,08750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872,07407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714,08750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872,07407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714,08750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543,09877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303,22500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543,09877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303,22500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543,09877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303,22500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543,09877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303,22500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304,44444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558,54118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304,44444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558,54118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304,44444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558,54118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304,44444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558,54118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досвечивания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088,75309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337,77647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643,86250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088,75309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337,77647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643,86250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088,75309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337,77647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643,86250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088,75309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337,77647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643,86250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хранилищ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814,81481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117,64706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Агротуризм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R3410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814,81481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117,64706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R3410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814,81481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117,64706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R3410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814,81481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117,64706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R3410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814,81481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117,64706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«Вовлечение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мелиорация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назначения»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08 2 05 00000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762,46914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390,58824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762,46914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762,46914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762,46914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762,46914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картофе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клубней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«Цифровое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08 3 02 00000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Цифровизация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08 3 02 24640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08 3 02 24640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08 3 02 24640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08 3 02 24640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мелиорации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назначения»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известкования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пашне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08 4 01 82260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08 4 01 82260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08 4 01 82260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08 4 01 82260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пропаганда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передового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опыта»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08 4 02 22150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08 4 02 22150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08 4 02 22150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08 4 02 22150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престижа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08 4 02 24710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08 4 02 24710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08 4 02 24710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08 4 02 24710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магистратуры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«Техническое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ьянских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консалтинга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08 4 04 83240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08 4 04 83240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08 4 04 83240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08 4 04 83240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845,02800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823,51200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807,84900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вхо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дящего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Современный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облик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ландшафтов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257,08294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257,08294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257,08294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257,08294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257,08294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«Предоставление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получении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займа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желающими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переселиться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местность»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переселиться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591,22000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949,84000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975,84000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970,86000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«Жильё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ипотека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1 F1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975,84000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970,86000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законодательством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615,38000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103,34000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394,64000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</w:p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участвующих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ипотечного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кредитования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996,14000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Интеллектуальная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заёмщика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02 81940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10 4 02 81940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10 4 02 81940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10 4 02 81940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заёмщика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семей»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Сойер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10 4 05 26150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10 4 05 26150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10 4 05 26150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10 4 05 26150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10 4 05 83080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10 4 05 83080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10 4 05 83080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10 4 05 83080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340,19730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129,87633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989,42930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1 R1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Общесистемные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1 R2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весогабаритного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23160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23160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23160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23160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территориях»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R3720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R3720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R3720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R3720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456,19730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801,25262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864,57112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</w:p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694,86000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Зелинского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Веряжка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11 4 01 98210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11 4 01 98210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11 4 01 98210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11 4 01 98210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«Осуществ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искус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828,85270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999,86062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624,90412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383,35270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999,86062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624,90412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383,35270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999,86062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624,90412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383,35270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999,86062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624,90412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383,35270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999,86062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624,90412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бесперебойного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11 4 04 24650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11 4 04 24650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11 4 04 24650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11 4 04 24650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559,19200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559,19200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559,19200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11 4 05 22570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11 4 05 22570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11 4 05 22570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11 4 05 22570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11 4 05 23970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11 4 05 23970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11 4 05 23970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11 4 05 23970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наземным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рынка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газомоторного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топлива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заправочной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компримированного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существующей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спроса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отечественные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беспилотные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авиационные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2 Y4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Y4 51270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Y4 51270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Y4 51270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Y4 51270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045,43988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045,43988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045,43988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532,07698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532,07698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532,07698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730,88314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730,88314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730,88314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водохозяйственного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«Комплексная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твердыми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1 G2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 G2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 G2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 G2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 G2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твердыми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Актуализация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13 4 01 24720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13 4 01 24720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13 4 01 24720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13 4 01 24720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«Деятельность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охраняемых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обитания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13 4 02 82560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13 4 02 82560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13 4 02 82560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13 4 02 82560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наводнений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экологически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благоприятные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13 4 03 24730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13 4 03 24730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13 4 03 24730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13 4 03 24730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гидротехнических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природопользования»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охотничьего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роизводство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14 4 01 22970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14 4 01 22970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14 4 01 22970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14 4 01 22970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рыбохозяйственного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14 4 02 81060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14 4 02 81060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14 4 02 81060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14 4 02 81060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охотничьего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1 T2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52510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52510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52510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52510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«Цифровая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трансформация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службы»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ВетИС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15 3 01 24520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15 3 01 24520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15 3 01 24520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15 3 01 24520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ветеринарии»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заразных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болез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животных»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противоэпизоотических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высококвалифицированными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африкан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АЧС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лейкозом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секторе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менеджмента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226,91000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226,91000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R0660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R0660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R0660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R0660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834,14075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117,57648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534,65000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834,14075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117,57648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534,65000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участками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находящимися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538,24075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888,07648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305,15000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17 4 01 22870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197,34075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17 4 01 22870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197,34075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17 4 01 22870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197,34075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17 4 01 22870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197,34075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Определение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кадастровой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недвижимости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17 4 02 01860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17 4 02 01860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17 4 02 01860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17 4 02 01860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17 4 03 22880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17 4 03 22880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17 4 03 22880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17 4 03 22880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376,88799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980,94561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479,89244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«Повышен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«Оценка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востребованности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18 3 01 24120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18 3 01 24120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18 3 01 24120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18 3 01 24120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276,88799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880,94561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379,89244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471,98799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674,78684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090,79403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696,62793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674,78684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090,79403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696,62793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674,78684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090,79403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696,62793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674,78684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090,79403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696,62793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654,84730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639,88567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475,30770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654,84730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639,88567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475,30770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654,84730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639,88567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475,30770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654,84730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639,88567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475,30770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861,60522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333,55194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143,78914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861,60522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333,55194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143,78914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861,60522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333,55194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143,78914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861,60522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333,55194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143,78914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18 4 01 24150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280,74863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194,81397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967,26767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18 4 01 24150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280,74863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194,81397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967,26767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18 4 01 24150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280,74863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194,81397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967,26767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18 4 01 24150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280,74863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194,81397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967,26767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финансами»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совещаниях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конференциях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Лицензионное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18 4 03 25080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18 4 03 25080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18 4 03 25080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18 4 03 25080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выравнивания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сбалансированно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делегированных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полномочий»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816-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климата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669,90823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343,60823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«Создани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благоприятных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самозанятыми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гражданами»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1 I2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легкого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комфортного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бизнеса»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1 I4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517,93814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995,97938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995,97938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995,97938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995,97938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включительно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521,95876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521,95876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521,95876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521,95876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«Акселерация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предпринимательства»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1 I5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609,58762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поручительств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604,22680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604,22680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604,22680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604,22680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туристической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1 J1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туристических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1 J2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 J2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 J2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 J2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 J2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«Системные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международной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1 T6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успешных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экспортеров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сплошных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ыборочных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экспортерам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внешнеэкономической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19 4 01 01820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19 4 01 01820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19 4 01 01820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19 4 01 01820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ниторинг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антимонопольного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адлежит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19 4 01 83200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19 4 01 83200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19 4 01 83200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19 4 01 83200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предпринимательства»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льготной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кластеров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Аттестация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экскурсоводов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переводчиков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19 4 03 24760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19 4 03 24760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19 4 03 24760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19 4 03 24760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классифицирование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вновь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открывающимся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Нацио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едоставляющих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«Стимулирование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илитации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посягающих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законодательством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20 4 01 77100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20 4 01 77100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20 4 01 77100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20 4 01 77100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антиобщественных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несовершеннолетних»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страдающим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наркологическими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«Меры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устранению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причин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коррупции»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«Реконструкция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постоянной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готовности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21 4 01 23030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21 4 01 23030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21 4 01 23030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21 4 01 23030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происшествий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объектах»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извещателей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R0280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R0280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R0280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R0280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22 3 03 00000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«Интеллектуальная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ктроника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22 3 03 82370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22 3 03 82370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22 3 03 82370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22 3 03 82370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22 4 02 23230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22 4 02 23230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22 4 02 23230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22 4 02 23230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серверного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серверных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системами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817,74846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006,54846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активность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1 E8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«Молодежь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России»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924,94846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Космическая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олимпиада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космической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23 3 01 22650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23 3 01 22650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23 3 01 22650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23 3 01 22650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«Вовлечение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практику»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23 4 01 82510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23 4 01 82510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23 4 01 82510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23 4 01 82510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«Патриотическое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23 4 03 24570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23 4 03 24570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23 4 03 24570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23 4 03 24570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увековечения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остались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незахороненными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розыску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родственников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23 4 03 81990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23 4 03 81990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23 4 03 81990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23 4 03 81990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Авангард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ППМИ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24 3 02 00000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24 3 03 00000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24 3 04 00000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24 3 05 00000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R5181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R5181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R5181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R5181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самоуп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СОНКО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СОНКО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24 4 02 24680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24 4 02 24680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24 4 02 24680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24 4 02 24680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идентичности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663,55612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132,61836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194,16000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650,54856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Современная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331,91856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52390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020,61856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52390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020,61856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52390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020,61856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52390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020,61856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кампусов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1 S8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кампусов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концессионных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кампусов»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«Наука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университеты»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82610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82610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82610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82610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013,00756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266,47836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995,83000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общеобразовательны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013,00756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266,47836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995,83000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заготовительной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результато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«Адресная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производительности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предприятиях»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1 L2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 52890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 52890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 52890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 52890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конкурентоспособности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противоправного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Ушкуйник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отдаленных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мышленности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торговли»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27 4 03 82070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27 4 03 82070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27 4 03 82070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27 4 03 82070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исследователей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коллективов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28 4 01 24610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28 4 01 24610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28 4 01 24610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28 4 01 24610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наукоёмкого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бизнеса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конструкторских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интеллектуальную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патентов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комплектующих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иннова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ционной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28 4 03 01880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28 4 03 01880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28 4 03 01880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28 4 03 01880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Губернатор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Заместители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заместители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заместит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974,57100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400,29155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338,59155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ассоциированного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Ассоциации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Ассоциация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ухудшения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геополитической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устранени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944,37945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944,37945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944,37945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944,37945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сервиса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квалифицированной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дознания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предварительного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следствия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прокурора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истцом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убытков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714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1941-1945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округах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сенаторов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Вооруженные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Росгвардии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отоплением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прилегающих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совещаний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бюро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93 0 00 98701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93 0 00 98701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93 0 00 98701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93 0 00 98701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Депутаты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Счетной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палаты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вновь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611,61567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100,45714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115,28089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998,37000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C34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585,67000</w:t>
            </w:r>
          </w:p>
        </w:tc>
      </w:tr>
    </w:tbl>
    <w:p w:rsidR="00000000" w:rsidRDefault="00C3430D"/>
    <w:sectPr w:rsidR="00000000">
      <w:headerReference w:type="default" r:id="rId6"/>
      <w:pgSz w:w="16901" w:h="11950" w:orient="landscape"/>
      <w:pgMar w:top="1531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3430D">
      <w:pPr>
        <w:spacing w:after="0" w:line="240" w:lineRule="auto"/>
      </w:pPr>
      <w:r>
        <w:separator/>
      </w:r>
    </w:p>
  </w:endnote>
  <w:endnote w:type="continuationSeparator" w:id="0">
    <w:p w:rsidR="00000000" w:rsidRDefault="00C3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3430D">
      <w:pPr>
        <w:spacing w:after="0" w:line="240" w:lineRule="auto"/>
      </w:pPr>
      <w:r>
        <w:separator/>
      </w:r>
    </w:p>
  </w:footnote>
  <w:footnote w:type="continuationSeparator" w:id="0">
    <w:p w:rsidR="00000000" w:rsidRDefault="00C34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3430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3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430D"/>
    <w:rsid w:val="00C34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128</Pages>
  <Words>57757</Words>
  <Characters>329219</Characters>
  <Application>Microsoft Office Word</Application>
  <DocSecurity>0</DocSecurity>
  <Lines>2743</Lines>
  <Paragraphs>772</Paragraphs>
  <ScaleCrop>false</ScaleCrop>
  <Company/>
  <LinksUpToDate>false</LinksUpToDate>
  <CharactersWithSpaces>386204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eabras_481</cp:lastModifiedBy>
  <cp:revision>2</cp:revision>
  <dcterms:created xsi:type="dcterms:W3CDTF">2023-10-30T09:03:00Z</dcterms:created>
  <dcterms:modified xsi:type="dcterms:W3CDTF">2023-10-30T09:03:00Z</dcterms:modified>
</cp:coreProperties>
</file>